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 7 </w:t>
      </w:r>
      <w:r w:rsidDel="00000000" w:rsidR="00000000" w:rsidRPr="00000000">
        <w:rPr>
          <w:rFonts w:ascii="Open Sans" w:cs="Open Sans" w:eastAsia="Open Sans" w:hAnsi="Open Sans"/>
          <w:color w:val="34351a"/>
          <w:sz w:val="42"/>
          <w:szCs w:val="42"/>
          <w:rtl w:val="0"/>
        </w:rPr>
        <w:t xml:space="preserve">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Enforcing the Rules of the Road - The Major Prophets</w:t>
      </w:r>
      <w:r w:rsidDel="00000000" w:rsidR="00000000" w:rsidRPr="00000000">
        <w:rPr>
          <w:rtl w:val="0"/>
        </w:rPr>
      </w:r>
    </w:p>
    <w:p w:rsidR="00000000" w:rsidDel="00000000" w:rsidP="00000000" w:rsidRDefault="00000000" w:rsidRPr="00000000" w14:paraId="0000000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were three main differences between writing prophets and non-writing prophets? (10 points)</w:t>
      </w:r>
    </w:p>
    <w:p w:rsidR="00000000" w:rsidDel="00000000" w:rsidP="00000000" w:rsidRDefault="00000000" w:rsidRPr="00000000" w14:paraId="00000006">
      <w:pPr>
        <w:spacing w:after="60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two main sections in the book of Isaiah? Who was Isaiah writing to in each section? (10 points)</w:t>
      </w:r>
    </w:p>
    <w:p w:rsidR="00000000" w:rsidDel="00000000" w:rsidP="00000000" w:rsidRDefault="00000000" w:rsidRPr="00000000" w14:paraId="0000000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List at least three reasons it is reasonable to believe that the entire book of Isaiah was written by the prophet Isaiah in the 8</w:t>
      </w:r>
      <w:r w:rsidDel="00000000" w:rsidR="00000000" w:rsidRPr="00000000">
        <w:rPr>
          <w:rFonts w:ascii="Open Sans" w:cs="Open Sans" w:eastAsia="Open Sans" w:hAnsi="Open Sans"/>
          <w:sz w:val="20"/>
          <w:szCs w:val="20"/>
          <w:vertAlign w:val="superscript"/>
          <w:rtl w:val="0"/>
        </w:rPr>
        <w:t xml:space="preserve">th</w:t>
      </w:r>
      <w:r w:rsidDel="00000000" w:rsidR="00000000" w:rsidRPr="00000000">
        <w:rPr>
          <w:rFonts w:ascii="Open Sans" w:cs="Open Sans" w:eastAsia="Open Sans" w:hAnsi="Open Sans"/>
          <w:sz w:val="20"/>
          <w:szCs w:val="20"/>
          <w:rtl w:val="0"/>
        </w:rPr>
        <w:t xml:space="preserve"> century B.C.? (10 points)</w:t>
      </w:r>
    </w:p>
    <w:p w:rsidR="00000000" w:rsidDel="00000000" w:rsidP="00000000" w:rsidRDefault="00000000" w:rsidRPr="00000000" w14:paraId="0000000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Why did Isaiah start his book by calling heaven and earth to listen to him? (5 points)</w:t>
      </w:r>
    </w:p>
    <w:p w:rsidR="00000000" w:rsidDel="00000000" w:rsidP="00000000" w:rsidRDefault="00000000" w:rsidRPr="00000000" w14:paraId="0000001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List at least three accusations Isaiah made as he laid out the case against Israel for covenant violations. (6 points)</w:t>
      </w:r>
    </w:p>
    <w:p w:rsidR="00000000" w:rsidDel="00000000" w:rsidP="00000000" w:rsidRDefault="00000000" w:rsidRPr="00000000" w14:paraId="0000001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Which major theme in the book of Isaiah was highlighted in the lecture? (Hint: the one that can be seen in Isaiah 8:17, 12:2, &amp; 26:3-4.) Why was it necessary for Isaiah to remind the people of that truth? (5 points)</w:t>
      </w:r>
    </w:p>
    <w:p w:rsidR="00000000" w:rsidDel="00000000" w:rsidP="00000000" w:rsidRDefault="00000000" w:rsidRPr="00000000" w14:paraId="0000001C">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D">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what is the significance of Isaiah 40:1-3? (5 points)</w:t>
      </w:r>
    </w:p>
    <w:p w:rsidR="00000000" w:rsidDel="00000000" w:rsidP="00000000" w:rsidRDefault="00000000" w:rsidRPr="00000000" w14:paraId="00000020">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New Testament, who fulfilled the prophecy recorded in Isaiah 40:1-3? (2 points)</w:t>
      </w:r>
    </w:p>
    <w:p w:rsidR="00000000" w:rsidDel="00000000" w:rsidP="00000000" w:rsidRDefault="00000000" w:rsidRPr="00000000" w14:paraId="00000024">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Matthew 2:23 states that Jesus’ family settled in Nazareth so that “what was spoken by the prophets might be fulfilled, that he would be called a Nazarene.” Which passage in Isaiah is Matthew referencing? (2 points)</w:t>
      </w:r>
    </w:p>
    <w:p w:rsidR="00000000" w:rsidDel="00000000" w:rsidP="00000000" w:rsidRDefault="00000000" w:rsidRPr="00000000" w14:paraId="00000027">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A">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Luke 4:16-21, Jesus reads a passage from the book of Isaiah and then declares, “Today this scripture is fulfilled in your hearing.” What passage of Isaiah did Jesus read? (2 points)</w:t>
      </w:r>
    </w:p>
    <w:p w:rsidR="00000000" w:rsidDel="00000000" w:rsidP="00000000" w:rsidRDefault="00000000" w:rsidRPr="00000000" w14:paraId="0000002C">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Jeremiah’s vision at the beginning of his book, what was the significance of the blossoming almond tree and of the boiling pot from the north? (10 points)</w:t>
      </w:r>
    </w:p>
    <w:p w:rsidR="00000000" w:rsidDel="00000000" w:rsidP="00000000" w:rsidRDefault="00000000" w:rsidRPr="00000000" w14:paraId="00000031">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Blossoming Almond Tree:</w:t>
      </w:r>
    </w:p>
    <w:p w:rsidR="00000000" w:rsidDel="00000000" w:rsidP="00000000" w:rsidRDefault="00000000" w:rsidRPr="00000000" w14:paraId="00000032">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Boiling Pot from the North: </w:t>
      </w:r>
    </w:p>
    <w:p w:rsidR="00000000" w:rsidDel="00000000" w:rsidP="00000000" w:rsidRDefault="00000000" w:rsidRPr="00000000" w14:paraId="0000003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was God teaching Israel when he sent Jeremiah to observe a potter forming clay (Jeremiah 18)? (5 points)</w:t>
      </w:r>
    </w:p>
    <w:p w:rsidR="00000000" w:rsidDel="00000000" w:rsidP="00000000" w:rsidRDefault="00000000" w:rsidRPr="00000000" w14:paraId="0000003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Daniel 9, how did Daniel know that the exile was almost over? (5 points)</w:t>
      </w:r>
    </w:p>
    <w:p w:rsidR="00000000" w:rsidDel="00000000" w:rsidP="00000000" w:rsidRDefault="00000000" w:rsidRPr="00000000" w14:paraId="0000003E">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F">
      <w:pPr>
        <w:spacing w:after="12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metaphor did Jeremiah use in Jeremiah 23 &amp; 33 to describe the coming Messiah? What information about the Messiah does Jeremiah give God’s people in those chapters? (10 points)</w:t>
      </w:r>
    </w:p>
    <w:p w:rsidR="00000000" w:rsidDel="00000000" w:rsidP="00000000" w:rsidRDefault="00000000" w:rsidRPr="00000000" w14:paraId="0000004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early church used Jeremiah 23:5-6 to prove Jesus’ divinity from the Old Testament. How can that passage be used to prove that doctrine? (5 points)</w:t>
      </w:r>
    </w:p>
    <w:p w:rsidR="00000000" w:rsidDel="00000000" w:rsidP="00000000" w:rsidRDefault="00000000" w:rsidRPr="00000000" w14:paraId="00000046">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7">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8">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9">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A">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B">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key characteristics of the New Covenant? Fill in the information below. (15 points)</w:t>
      </w:r>
    </w:p>
    <w:p w:rsidR="00000000" w:rsidDel="00000000" w:rsidP="00000000" w:rsidRDefault="00000000" w:rsidRPr="00000000" w14:paraId="0000004D">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w:t>
      </w:r>
    </w:p>
    <w:p w:rsidR="00000000" w:rsidDel="00000000" w:rsidP="00000000" w:rsidRDefault="00000000" w:rsidRPr="00000000" w14:paraId="0000004E">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F">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Covenant: Conditional or Unconditional?</w:t>
      </w:r>
    </w:p>
    <w:p w:rsidR="00000000" w:rsidDel="00000000" w:rsidP="00000000" w:rsidRDefault="00000000" w:rsidRPr="00000000" w14:paraId="00000050">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1">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Period Once the Covenant Is Established: </w:t>
      </w:r>
    </w:p>
    <w:p w:rsidR="00000000" w:rsidDel="00000000" w:rsidP="00000000" w:rsidRDefault="00000000" w:rsidRPr="00000000" w14:paraId="00000052">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3">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4">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Possible Sign of the Covenant: </w:t>
      </w:r>
    </w:p>
    <w:p w:rsidR="00000000" w:rsidDel="00000000" w:rsidP="00000000" w:rsidRDefault="00000000" w:rsidRPr="00000000" w14:paraId="00000055">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Promises:</w:t>
      </w:r>
    </w:p>
    <w:p w:rsidR="00000000" w:rsidDel="00000000" w:rsidP="00000000" w:rsidRDefault="00000000" w:rsidRPr="00000000" w14:paraId="00000057">
      <w:pPr>
        <w:numPr>
          <w:ilvl w:val="2"/>
          <w:numId w:val="2"/>
        </w:numPr>
        <w:spacing w:after="240" w:lineRule="auto"/>
        <w:ind w:left="2160" w:hanging="18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8">
      <w:pPr>
        <w:numPr>
          <w:ilvl w:val="2"/>
          <w:numId w:val="2"/>
        </w:numPr>
        <w:spacing w:after="240" w:lineRule="auto"/>
        <w:ind w:left="2160" w:hanging="18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9">
      <w:pPr>
        <w:numPr>
          <w:ilvl w:val="2"/>
          <w:numId w:val="2"/>
        </w:numPr>
        <w:spacing w:after="240" w:lineRule="auto"/>
        <w:ind w:left="2160" w:hanging="18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A">
      <w:pPr>
        <w:numPr>
          <w:ilvl w:val="2"/>
          <w:numId w:val="2"/>
        </w:numPr>
        <w:spacing w:after="240" w:lineRule="auto"/>
        <w:ind w:left="2160" w:hanging="18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literary device was used by the author of Lamentations? Why would the author choose to use that literary device as they wrote about the destruction of Jerusalem? (10 points)</w:t>
      </w:r>
    </w:p>
    <w:p w:rsidR="00000000" w:rsidDel="00000000" w:rsidP="00000000" w:rsidRDefault="00000000" w:rsidRPr="00000000" w14:paraId="0000005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2">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does Lamentations 3:22-24 form the “Heart of Lamentations”? How does the structure of the book highlight this passage and what message does this passage convey? (10 points)</w:t>
      </w:r>
    </w:p>
    <w:p w:rsidR="00000000" w:rsidDel="00000000" w:rsidP="00000000" w:rsidRDefault="00000000" w:rsidRPr="00000000" w14:paraId="00000063">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4">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5">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6">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does book of Lamentations point forward to Jesus? (5 points)</w:t>
      </w:r>
    </w:p>
    <w:p w:rsidR="00000000" w:rsidDel="00000000" w:rsidP="00000000" w:rsidRDefault="00000000" w:rsidRPr="00000000" w14:paraId="00000067">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A">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major theological truth was God teaching the Israelites through the book of Ezekiel? In other words, what is the main idea of Ezekiel? (3 points)</w:t>
      </w:r>
    </w:p>
    <w:p w:rsidR="00000000" w:rsidDel="00000000" w:rsidP="00000000" w:rsidRDefault="00000000" w:rsidRPr="00000000" w14:paraId="0000006B">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C">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D">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E">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was Ezekiel taken into exile? During what “wave” of the exile was he taken to Babylon? (2 points)</w:t>
      </w:r>
    </w:p>
    <w:p w:rsidR="00000000" w:rsidDel="00000000" w:rsidP="00000000" w:rsidRDefault="00000000" w:rsidRPr="00000000" w14:paraId="0000006F">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0">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1">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three major things that God shows Ezekiel in the vision recorded in chapters 8 through 11? (6 points)</w:t>
      </w:r>
    </w:p>
    <w:p w:rsidR="00000000" w:rsidDel="00000000" w:rsidP="00000000" w:rsidRDefault="00000000" w:rsidRPr="00000000" w14:paraId="00000072">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3">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4">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5">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6">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three major things that God shows Ezekiel in the vision recorded in chapters 33 through 48? (6 points)</w:t>
      </w:r>
    </w:p>
    <w:p w:rsidR="00000000" w:rsidDel="00000000" w:rsidP="00000000" w:rsidRDefault="00000000" w:rsidRPr="00000000" w14:paraId="00000077">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8">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9">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A">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B">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are those two visions connected? (5 points)</w:t>
      </w:r>
    </w:p>
    <w:p w:rsidR="00000000" w:rsidDel="00000000" w:rsidP="00000000" w:rsidRDefault="00000000" w:rsidRPr="00000000" w14:paraId="0000007C">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D">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E">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F">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title did God call Ezekiel over 90 times in his book? What did this title mean? How does this title connect Ezekiel to Jesus? (5 points)</w:t>
      </w:r>
    </w:p>
    <w:p w:rsidR="00000000" w:rsidDel="00000000" w:rsidP="00000000" w:rsidRDefault="00000000" w:rsidRPr="00000000" w14:paraId="00000080">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1">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2">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3">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4">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was Daniel taken into exile? During what “wave” of the exile was he taken to Babylon? (2 points)</w:t>
      </w:r>
    </w:p>
    <w:p w:rsidR="00000000" w:rsidDel="00000000" w:rsidP="00000000" w:rsidRDefault="00000000" w:rsidRPr="00000000" w14:paraId="00000085">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6">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7">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List at least three reasons it is reasonable to believe that the entire book of Daniel was written by the prophet Daniel in the 6th century B.C.? (10 points)</w:t>
      </w:r>
    </w:p>
    <w:p w:rsidR="00000000" w:rsidDel="00000000" w:rsidP="00000000" w:rsidRDefault="00000000" w:rsidRPr="00000000" w14:paraId="00000088">
      <w:pPr>
        <w:spacing w:after="60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9">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A">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notes, why does the book of Daniel begin in Hebrew, switch to Aramaic, and then switch back to Hebrew? (4 points)</w:t>
      </w:r>
    </w:p>
    <w:p w:rsidR="00000000" w:rsidDel="00000000" w:rsidP="00000000" w:rsidRDefault="00000000" w:rsidRPr="00000000" w14:paraId="0000008B">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C">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D">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E">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most scholars, what are the four kingdoms represented in Daniel 2 and Daniel 7-8? What happens to those kingdoms at the end of Nebuchadnezzar’s vision in Daniel 2? (10 points)</w:t>
      </w:r>
    </w:p>
    <w:p w:rsidR="00000000" w:rsidDel="00000000" w:rsidP="00000000" w:rsidRDefault="00000000" w:rsidRPr="00000000" w14:paraId="0000008F">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0">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1">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2">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stories do we find at the heart of the book of Daniel? (Hint: the center of the chiastic structure.) (2 points)</w:t>
      </w:r>
    </w:p>
    <w:p w:rsidR="00000000" w:rsidDel="00000000" w:rsidP="00000000" w:rsidRDefault="00000000" w:rsidRPr="00000000" w14:paraId="00000094">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5">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6">
      <w:pPr>
        <w:spacing w:after="12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7">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what chapter of Daniel contains “a major Messianic prophecy”? In the New Testament, who identified Jesus as the fulfillment of that prophecy? List three truths about the Messiah that is taught by that chapter in Daniel. (10 points)</w:t>
      </w:r>
    </w:p>
    <w:p w:rsidR="00000000" w:rsidDel="00000000" w:rsidP="00000000" w:rsidRDefault="00000000" w:rsidRPr="00000000" w14:paraId="00000098">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9">
      <w:pPr>
        <w:spacing w:after="240" w:lineRule="auto"/>
        <w:ind w:left="1080" w:firstLine="0"/>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